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4C" w:rsidRDefault="00D3104C" w:rsidP="00D3104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چشم</w:t>
      </w:r>
      <w:r>
        <w:rPr>
          <w:rFonts w:ascii="Calibri" w:hAnsi="Calibri" w:hint="cs"/>
          <w:b/>
          <w:bCs/>
          <w:sz w:val="32"/>
          <w:szCs w:val="32"/>
        </w:rPr>
        <w:t>‌</w:t>
      </w:r>
      <w:r>
        <w:rPr>
          <w:rFonts w:hint="cs"/>
          <w:b/>
          <w:bCs/>
          <w:sz w:val="32"/>
          <w:szCs w:val="32"/>
          <w:rtl/>
        </w:rPr>
        <w:t>انداز ژنومی آبزیان و تاثیرات محیطی روی تنوع ژنتیکی</w:t>
      </w:r>
    </w:p>
    <w:p w:rsidR="00D3104C" w:rsidRDefault="00D3104C" w:rsidP="00D3104C">
      <w:pPr>
        <w:rPr>
          <w:rFonts w:hint="cs"/>
          <w:rtl/>
        </w:rPr>
      </w:pPr>
      <w:r>
        <w:rPr>
          <w:rFonts w:hint="cs"/>
          <w:rtl/>
        </w:rPr>
        <w:t>چکیده</w:t>
      </w:r>
    </w:p>
    <w:p w:rsidR="00D3104C" w:rsidRDefault="00D3104C" w:rsidP="00D3104C">
      <w:pPr>
        <w:ind w:firstLine="340"/>
        <w:rPr>
          <w:rFonts w:hint="cs"/>
          <w:rtl/>
        </w:rPr>
      </w:pPr>
      <w:r>
        <w:rPr>
          <w:rFonts w:hint="cs"/>
          <w:rtl/>
        </w:rPr>
        <w:t>گونه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آبزی نماینده تعداد متنوع زیادی از چندیاخته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ای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 هستند که فراوان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ترین منابع پروتئینی حیوانی را برای انسان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 فراهم می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کنند و نگرانی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زیادی برای حفاظت از آن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 وجود دارد، با این وجود چشم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انداز ژنومی توسط پژوهش</w:t>
      </w:r>
      <w:r>
        <w:rPr>
          <w:rFonts w:ascii="Calibri" w:hAnsi="Calibri" w:hint="cs"/>
          <w:rtl/>
        </w:rPr>
        <w:t>‌‌</w:t>
      </w:r>
      <w:r>
        <w:rPr>
          <w:rFonts w:hint="cs"/>
          <w:rtl/>
        </w:rPr>
        <w:t>هایی در حوزه سیستم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خاکی مورد بررسی قرار می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گیرد. ما نقشه راهی را برای طراحی پروژه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چشم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انداز ژنومی آبزیان از طریق گرداوری منابع نرم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افزاری و طرح فضایی برای پژوهشگران فراهم کرده و به ارائه پیشنهاداتی از لحاظ نمونه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برداری تا تولید داده و تجزیه و تحلیل آن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 می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پردازیم و در عین حال هشداری در مورد ریسک تحلیل می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دهیم. با توجه به خصوصیات منحصربه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فرد آب، به بحث در مورد اهمیت توجه به ساختار سیستمی آب شیرین و ویژگی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غیرآلی دریایی در زمان ارزیابی تنوع ژنتیکی، ارتباط جمعیتی، و علائم انتخاب طبیعی می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پرداریم. در صورت امکان، مجموعه داده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ژنومی باید به مجموعه داده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خنثی، تطبیقی و وابسته به جنسیت تفکیک شوند تا دقیق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 xml:space="preserve">ترین نتایج مرتبط با فرایند تحولات اکوسیستمی بدست آید. </w:t>
      </w:r>
    </w:p>
    <w:p w:rsidR="00667BDF" w:rsidRDefault="00667BDF">
      <w:pPr>
        <w:rPr>
          <w:rFonts w:hint="cs"/>
        </w:rPr>
      </w:pPr>
      <w:bookmarkStart w:id="0" w:name="_GoBack"/>
      <w:bookmarkEnd w:id="0"/>
    </w:p>
    <w:sectPr w:rsidR="00667BDF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DA"/>
    <w:rsid w:val="004636BC"/>
    <w:rsid w:val="004D61C3"/>
    <w:rsid w:val="004E2EDA"/>
    <w:rsid w:val="00667BDF"/>
    <w:rsid w:val="006E683F"/>
    <w:rsid w:val="00892DB3"/>
    <w:rsid w:val="00910CB6"/>
    <w:rsid w:val="009C110A"/>
    <w:rsid w:val="00A92142"/>
    <w:rsid w:val="00B8564A"/>
    <w:rsid w:val="00D3104C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891F6-D04F-4FE8-B41C-0ED2B20C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104C"/>
    <w:pPr>
      <w:widowControl w:val="0"/>
      <w:autoSpaceDE w:val="0"/>
      <w:autoSpaceDN w:val="0"/>
      <w:bidi/>
      <w:spacing w:after="0" w:line="240" w:lineRule="auto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widowControl/>
      <w:autoSpaceDE/>
      <w:autoSpaceDN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widowControl/>
      <w:autoSpaceDE/>
      <w:autoSpaceDN/>
      <w:spacing w:line="259" w:lineRule="auto"/>
      <w:jc w:val="center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widowControl/>
      <w:autoSpaceDE/>
      <w:autoSpaceDN/>
      <w:bidi w:val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2022-02-10T17:47:00Z</dcterms:created>
  <dcterms:modified xsi:type="dcterms:W3CDTF">2022-02-10T17:47:00Z</dcterms:modified>
</cp:coreProperties>
</file>